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TV Soliņš — sadarbības un finansējuma ieceres apraksts</w:t>
      </w:r>
    </w:p>
    <w:p>
      <w:r>
        <w:t>Statuss: agrīnas stadijas sociālās inovācijas koncepcija; nav apstiprinātu partneru vai pilotprojekta rezultātu.</w:t>
      </w:r>
    </w:p>
    <w:p>
      <w:pPr>
        <w:pStyle w:val="Heading1"/>
      </w:pPr>
      <w:r>
        <w:t>Īsais piedāvājums</w:t>
      </w:r>
    </w:p>
    <w:p>
      <w:r>
        <w:t>TV Soliņš ir televīzijā pieejama, vietējā kopienā balstīta sarunu vide vecākiem iedzīvotājiem, arī tiem, kuri neizmanto viedtālruni. Bibliotēka var palīdzēt iepazīties ar pakalpojumu; apmācīts vietējais sarunas vadītājs uzrauga grupas tikšanos. Mērķis ir pārbaudīt, vai šāda pieeja var stiprināt sociālo līdzdalību un drošāku digitālo uzvedību.</w:t>
      </w:r>
    </w:p>
    <w:p>
      <w:pPr>
        <w:pStyle w:val="Heading1"/>
      </w:pPr>
      <w:r>
        <w:t>Politikas un finansējuma atbilstības valoda</w:t>
      </w:r>
    </w:p>
    <w:p>
      <w:pPr>
        <w:pStyle w:val="ListBullet"/>
      </w:pPr>
      <w:r>
        <w:t>**Digitālā iekļaušana (digital inclusion):** piekļuve digitālai saziņai ar pazīstamu televizora pulti.</w:t>
      </w:r>
    </w:p>
    <w:p>
      <w:pPr>
        <w:pStyle w:val="ListBullet"/>
      </w:pPr>
      <w:r>
        <w:t>**Aktīva un veselīga novecošana (active and healthy ageing):** iespēja uzturēt regulāru sociālu kontaktu.</w:t>
      </w:r>
    </w:p>
    <w:p>
      <w:pPr>
        <w:pStyle w:val="ListBullet"/>
      </w:pPr>
      <w:r>
        <w:t>**Kopienas noturība (community resilience):** vietējo saikņu un savstarpējā atbalsta stiprināšana.</w:t>
      </w:r>
    </w:p>
    <w:p>
      <w:pPr>
        <w:pStyle w:val="ListBullet"/>
      </w:pPr>
      <w:r>
        <w:t>**Sociālā inovācija (social innovation):** jauna pakalpojuma organizēšanas un piekļuves kombinācija.</w:t>
      </w:r>
    </w:p>
    <w:p>
      <w:pPr>
        <w:pStyle w:val="ListBullet"/>
      </w:pPr>
      <w:r>
        <w:t>**Medijpratība un digitālā drošība (media literacy / digital safety):** praktiskas sarunas par krāpšanas pazīmēm un informācijas avotiem.</w:t>
      </w:r>
    </w:p>
    <w:p>
      <w:pPr>
        <w:pStyle w:val="ListBullet"/>
      </w:pPr>
      <w:r>
        <w:t>**Universālais dizains un piekļūstamība (inclusive design):** lielas pogas, skaidra valoda, audio atbalsts un alternatīvas viedtālrunim.</w:t>
      </w:r>
    </w:p>
    <w:p>
      <w:pPr>
        <w:pStyle w:val="ListBullet"/>
      </w:pPr>
      <w:r>
        <w:t>**Publiskā–privātā partnerība (PPP):** iespējamā bibliotēku, pakalpojumu sniedzēju un finansētāju sadarbība; neapgalvot, ka partnerība jau pastāv.</w:t>
      </w:r>
    </w:p>
    <w:p>
      <w:pPr>
        <w:pStyle w:val="ListBullet"/>
      </w:pPr>
      <w:r>
        <w:t>**Pierādījumos balstīta pilotēšana (evidence-led pilot):** iepriekš definēti mērījumi un neatkarīga dalībnieku atgriezeniskā saite.</w:t>
      </w:r>
    </w:p>
    <w:p>
      <w:pPr>
        <w:pStyle w:val="Heading1"/>
      </w:pPr>
      <w:r>
        <w:t>Pieprasījums pirmajam sadarbības partnerim</w:t>
      </w:r>
    </w:p>
    <w:p>
      <w:r>
        <w:t>Lūdzam 30–45 minūšu tikšanos ar bibliotēku un atļauju parādīt demonstrāciju nelielai brīvprātīgai grupai. Bibliotēkai nav jāiegādājas tehnika vai jāuzņemas moderēšana bez atsevišķas vienošanās.</w:t>
      </w:r>
    </w:p>
    <w:p>
      <w:pPr>
        <w:pStyle w:val="Heading1"/>
      </w:pPr>
      <w:r>
        <w:t>Pilotprojekta pieņēmumi</w:t>
      </w:r>
    </w:p>
    <w:p>
      <w:r>
        <w:t>Vienas apkaimes 10–15 brīvprātīgie, 1–2 apmācīti sarunu vadītāji, 4–6 nedēļu izmēģinājums pēc ētikas, privātuma un drošības izvērtējuma. Mērījumi: vai cilvēks saprot saskarni, vai var pievienoties atkārtoti, dalības biežums, pašvērtēts sociālais kontakts, uzticēšanās, ziņojumi par drošību. Nav solītu pozitīvu rezultātu.</w:t>
      </w:r>
    </w:p>
    <w:p>
      <w:pPr>
        <w:pStyle w:val="Heading1"/>
      </w:pPr>
      <w:r>
        <w:t>Iespējamie finansējuma virzieni (jāpārbauda atvērtie konkursi)</w:t>
      </w:r>
    </w:p>
    <w:p>
      <w:r>
        <w:t>ESF+ sociālā iekļaušana un prasmju attīstība; Erasmus+ pieaugušo izglītība; Interreg Baltijas reģiona sadarbība; pašvaldību vai valsts sociālo inovāciju atbalsta programmas; telekomunikāciju uzņēmumu sociālās atbildības budžeti. Programmu nosaukumi nav apliecinājums atbilstībai vai aktuālai pieteikumu pieņemšanai.</w:t>
      </w:r>
    </w:p>
    <w:p>
      <w:pPr>
        <w:pStyle w:val="Heading1"/>
      </w:pPr>
      <w:r>
        <w:t>Potenciālā pakalpojuma ekonomika</w:t>
      </w:r>
    </w:p>
    <w:p>
      <w:r>
        <w:t>Bezmaksas piekļuve iedzīvotājam, ja iespējams; finansēts vietējais koordinators, moderēšana, tehniskais atbalsts un aprīkojums. Galvenās izmaksas ir cilvēku darbs, nevis tikai TV kastīte. Biznesa modelis un cenas vēl nav validētas.</w:t>
      </w:r>
    </w:p>
    <w:p>
      <w:pPr>
        <w:pStyle w:val="Heading1"/>
      </w:pPr>
      <w:r>
        <w:t>Riski un mazināšana</w:t>
      </w:r>
    </w:p>
    <w:p>
      <w:pPr>
        <w:pStyle w:val="ListBullet"/>
      </w:pPr>
      <w:r>
        <w:t>Krāpnieks ar pārbaudītu kontu → tiesību ierobežošana, incidentu pārskatīšana, apmācīti vadītāji.</w:t>
      </w:r>
    </w:p>
    <w:p>
      <w:pPr>
        <w:pStyle w:val="ListBullet"/>
      </w:pPr>
      <w:r>
        <w:t>Vietējās varas ļaunprātīga izmantošana → atsevišķs drošības koordinators un pārsūdzība.</w:t>
      </w:r>
    </w:p>
    <w:p>
      <w:pPr>
        <w:pStyle w:val="ListBullet"/>
      </w:pPr>
      <w:r>
        <w:t>Nepietiekama interneta piekļuve → izmēģinājumā noskaidrot tehniskos priekšnoteikumus.</w:t>
      </w:r>
    </w:p>
    <w:p>
      <w:pPr>
        <w:pStyle w:val="ListBullet"/>
      </w:pPr>
      <w:r>
        <w:t>Privātuma aizskārums → pēc noklusējuma neierakstīt, skaidra piekrišana kamerai.</w:t>
      </w:r>
    </w:p>
    <w:p>
      <w:pPr>
        <w:pStyle w:val="ListBullet"/>
      </w:pPr>
      <w:r>
        <w:t>Pārmērīgi solījumi → skaidri nodalīt hipotēzi, demonstrāciju un pierādītu rezultātu.</w:t>
      </w:r>
    </w:p>
    <w:p>
      <w:pPr>
        <w:pStyle w:val="Heading1"/>
      </w:pPr>
      <w:r>
        <w:t>Nākamais lēmums</w:t>
      </w:r>
    </w:p>
    <w:p>
      <w:r>
        <w:t>Vai bibliotēka piekrīt vienai bezmaksas koncepta pārbaudes sesijai? Tikai pēc tās sagatavojam detalizētu budžetu un formālu finansējuma pieteikumu.</w:t>
      </w:r>
    </w:p>
    <w:sectPr w:rsidR="00FC693F" w:rsidRPr="0006063C" w:rsidSect="00034616">
      <w:pgSz w:w="12240" w:h="15840"/>
      <w:pgMar w:top="1191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